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B8" w:rsidRPr="002F7F5C" w:rsidRDefault="00F029B8" w:rsidP="00F029B8">
      <w:pPr>
        <w:jc w:val="center"/>
        <w:rPr>
          <w:b/>
          <w:sz w:val="24"/>
          <w:szCs w:val="24"/>
        </w:rPr>
      </w:pPr>
      <w:r w:rsidRPr="002F7F5C">
        <w:rPr>
          <w:b/>
          <w:sz w:val="24"/>
          <w:szCs w:val="24"/>
        </w:rPr>
        <w:t xml:space="preserve">Internal Reviewer </w:t>
      </w:r>
      <w:r w:rsidR="001A03CF" w:rsidRPr="002F7F5C">
        <w:rPr>
          <w:b/>
          <w:sz w:val="24"/>
          <w:szCs w:val="24"/>
        </w:rPr>
        <w:t>Checklist</w:t>
      </w:r>
      <w:r w:rsidRPr="002F7F5C">
        <w:rPr>
          <w:b/>
          <w:sz w:val="24"/>
          <w:szCs w:val="24"/>
        </w:rPr>
        <w:t xml:space="preserve"> for Science Fund Application</w:t>
      </w:r>
    </w:p>
    <w:tbl>
      <w:tblPr>
        <w:tblStyle w:val="TableGrid"/>
        <w:tblW w:w="10620" w:type="dxa"/>
        <w:tblInd w:w="-432" w:type="dxa"/>
        <w:tblLayout w:type="fixed"/>
        <w:tblLook w:val="04A0"/>
      </w:tblPr>
      <w:tblGrid>
        <w:gridCol w:w="1620"/>
        <w:gridCol w:w="1620"/>
        <w:gridCol w:w="6210"/>
        <w:gridCol w:w="630"/>
        <w:gridCol w:w="540"/>
      </w:tblGrid>
      <w:tr w:rsidR="00467EC8" w:rsidRPr="00C279FA" w:rsidTr="00467EC8">
        <w:tc>
          <w:tcPr>
            <w:tcW w:w="1620" w:type="dxa"/>
          </w:tcPr>
          <w:p w:rsidR="00467EC8" w:rsidRPr="00A70A31" w:rsidRDefault="00467EC8" w:rsidP="00A70A3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Category</w:t>
            </w:r>
          </w:p>
        </w:tc>
        <w:tc>
          <w:tcPr>
            <w:tcW w:w="1620" w:type="dxa"/>
          </w:tcPr>
          <w:p w:rsidR="00467EC8" w:rsidRPr="00A70A31" w:rsidRDefault="00467EC8" w:rsidP="00A70A3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70A31">
              <w:rPr>
                <w:rFonts w:ascii="Arial" w:eastAsia="Times New Roman" w:hAnsi="Arial" w:cs="Arial"/>
                <w:b/>
              </w:rPr>
              <w:t>Item</w:t>
            </w:r>
          </w:p>
        </w:tc>
        <w:tc>
          <w:tcPr>
            <w:tcW w:w="6210" w:type="dxa"/>
          </w:tcPr>
          <w:p w:rsidR="00467EC8" w:rsidRPr="00A70A31" w:rsidRDefault="00467EC8" w:rsidP="00A70A3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70A31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630" w:type="dxa"/>
          </w:tcPr>
          <w:p w:rsidR="00467EC8" w:rsidRPr="00A70A31" w:rsidRDefault="00467EC8" w:rsidP="00A70A3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70A31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540" w:type="dxa"/>
          </w:tcPr>
          <w:p w:rsidR="00467EC8" w:rsidRPr="00A70A31" w:rsidRDefault="00467EC8" w:rsidP="00A70A3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70A31">
              <w:rPr>
                <w:rFonts w:ascii="Arial" w:eastAsia="Times New Roman" w:hAnsi="Arial" w:cs="Arial"/>
                <w:b/>
              </w:rPr>
              <w:t>No</w:t>
            </w:r>
          </w:p>
        </w:tc>
      </w:tr>
      <w:tr w:rsidR="00467EC8" w:rsidRPr="00B103FC" w:rsidTr="00467EC8">
        <w:tc>
          <w:tcPr>
            <w:tcW w:w="1620" w:type="dxa"/>
            <w:vMerge w:val="restart"/>
            <w:vAlign w:val="center"/>
          </w:tcPr>
          <w:p w:rsidR="00467EC8" w:rsidRDefault="00467EC8" w:rsidP="00467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</w:t>
            </w:r>
          </w:p>
        </w:tc>
        <w:tc>
          <w:tcPr>
            <w:tcW w:w="1620" w:type="dxa"/>
            <w:vAlign w:val="center"/>
          </w:tcPr>
          <w:p w:rsidR="00467EC8" w:rsidRDefault="00467EC8" w:rsidP="0087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Eligibility</w:t>
            </w:r>
          </w:p>
        </w:tc>
        <w:tc>
          <w:tcPr>
            <w:tcW w:w="6210" w:type="dxa"/>
          </w:tcPr>
          <w:p w:rsidR="00467EC8" w:rsidRPr="006E7C4F" w:rsidRDefault="00467EC8" w:rsidP="00872FAE">
            <w:pPr>
              <w:jc w:val="both"/>
              <w:rPr>
                <w:rFonts w:ascii="Arial" w:eastAsia="Times New Roman" w:hAnsi="Arial" w:cs="Arial"/>
                <w:u w:val="single"/>
              </w:rPr>
            </w:pPr>
            <w:r w:rsidRPr="00B103FC">
              <w:rPr>
                <w:rFonts w:ascii="Arial" w:eastAsia="Times New Roman" w:hAnsi="Arial" w:cs="Arial"/>
              </w:rPr>
              <w:t>Researchers can lead only one (1) project at any time. Researchers have to submit the End of Project Report (EPR), before submitting a new application.</w:t>
            </w:r>
          </w:p>
        </w:tc>
        <w:tc>
          <w:tcPr>
            <w:tcW w:w="63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Pr="006E7C4F" w:rsidRDefault="00467EC8" w:rsidP="00872FA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67EC8" w:rsidRPr="006E7C4F" w:rsidRDefault="00467EC8" w:rsidP="00872FAE">
            <w:pPr>
              <w:rPr>
                <w:rFonts w:ascii="Arial" w:hAnsi="Arial" w:cs="Arial"/>
              </w:rPr>
            </w:pPr>
            <w:r w:rsidRPr="006E7C4F">
              <w:rPr>
                <w:rFonts w:ascii="Arial" w:hAnsi="Arial" w:cs="Arial"/>
              </w:rPr>
              <w:t>Status of Citizenship</w:t>
            </w:r>
          </w:p>
          <w:p w:rsidR="00467EC8" w:rsidRPr="00B103FC" w:rsidRDefault="00467EC8" w:rsidP="00872FAE"/>
        </w:tc>
        <w:tc>
          <w:tcPr>
            <w:tcW w:w="6210" w:type="dxa"/>
          </w:tcPr>
          <w:p w:rsidR="00467EC8" w:rsidRDefault="00467EC8" w:rsidP="00872FAE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This fund is open to all research scientists and engineers who are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employed on a</w:t>
            </w:r>
            <w:r>
              <w:rPr>
                <w:rFonts w:ascii="Arial" w:eastAsia="Times New Roman" w:hAnsi="Arial" w:cs="Arial"/>
              </w:rPr>
              <w:t xml:space="preserve"> permanent or contractual basis.  </w:t>
            </w:r>
          </w:p>
          <w:p w:rsidR="00467EC8" w:rsidRDefault="00467EC8" w:rsidP="00872FAE">
            <w:pPr>
              <w:jc w:val="both"/>
              <w:rPr>
                <w:rFonts w:ascii="Arial" w:eastAsia="Times New Roman" w:hAnsi="Arial" w:cs="Arial"/>
              </w:rPr>
            </w:pPr>
          </w:p>
          <w:p w:rsidR="00467EC8" w:rsidRPr="00BF1B73" w:rsidRDefault="00467EC8" w:rsidP="00872FAE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Those on contractual basis </w:t>
            </w:r>
            <w:r w:rsidRPr="00B103FC">
              <w:rPr>
                <w:rFonts w:ascii="Arial" w:eastAsia="Times New Roman" w:hAnsi="Arial" w:cs="Arial"/>
              </w:rPr>
              <w:t>must have a permanent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Malaysian co-researcher from the same institution, well-versed with the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project, to ensure its completion in the event the expatriate’s contract is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terminated.  The service of a contract researcher must be valid during the period of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research proposed and contractual documents must be furnished as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proof of employment for the period.</w:t>
            </w:r>
          </w:p>
        </w:tc>
        <w:tc>
          <w:tcPr>
            <w:tcW w:w="63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Pr="00FB1518" w:rsidRDefault="00467EC8" w:rsidP="004974B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Align w:val="center"/>
          </w:tcPr>
          <w:p w:rsidR="00467EC8" w:rsidRPr="00B605DF" w:rsidRDefault="00467EC8" w:rsidP="004974B3">
            <w:pPr>
              <w:jc w:val="both"/>
              <w:rPr>
                <w:rFonts w:ascii="Arial" w:eastAsia="Times New Roman" w:hAnsi="Arial" w:cs="Arial"/>
              </w:rPr>
            </w:pPr>
            <w:r w:rsidRPr="00FB1518">
              <w:rPr>
                <w:rFonts w:ascii="Arial" w:eastAsia="Times New Roman" w:hAnsi="Arial" w:cs="Arial"/>
              </w:rPr>
              <w:t>Project Duration</w:t>
            </w:r>
          </w:p>
        </w:tc>
        <w:tc>
          <w:tcPr>
            <w:tcW w:w="6210" w:type="dxa"/>
          </w:tcPr>
          <w:p w:rsidR="00467EC8" w:rsidRPr="00B103FC" w:rsidRDefault="00467EC8" w:rsidP="004974B3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The project duration is up to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30 months</w:t>
            </w:r>
          </w:p>
        </w:tc>
        <w:tc>
          <w:tcPr>
            <w:tcW w:w="63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Default="00467EC8" w:rsidP="004974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67EC8" w:rsidRPr="00B605DF" w:rsidRDefault="00467EC8" w:rsidP="00497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Guidelines</w:t>
            </w:r>
          </w:p>
        </w:tc>
        <w:tc>
          <w:tcPr>
            <w:tcW w:w="6210" w:type="dxa"/>
          </w:tcPr>
          <w:p w:rsidR="00467EC8" w:rsidRPr="00B103FC" w:rsidRDefault="00467EC8" w:rsidP="004974B3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 xml:space="preserve">Accessories needed include items </w:t>
            </w:r>
            <w:r>
              <w:rPr>
                <w:rFonts w:ascii="Arial" w:eastAsia="Times New Roman" w:hAnsi="Arial" w:cs="Arial"/>
              </w:rPr>
              <w:t xml:space="preserve">that are necessary </w:t>
            </w:r>
            <w:r w:rsidRPr="00B103FC">
              <w:rPr>
                <w:rFonts w:ascii="Arial" w:eastAsia="Times New Roman" w:hAnsi="Arial" w:cs="Arial"/>
              </w:rPr>
              <w:t>to upgrade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the capability of existing equipment directly related to the project.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Pr="00B103FC">
              <w:rPr>
                <w:rFonts w:ascii="Arial" w:eastAsia="Times New Roman" w:hAnsi="Arial" w:cs="Arial"/>
              </w:rPr>
              <w:t>Purchasing of equipment must be made in the first year. Purchasing of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personal computer, laptop, printer, server, scanners are not allowed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3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Pr="00B103FC" w:rsidRDefault="00467EC8" w:rsidP="004974B3"/>
        </w:tc>
        <w:tc>
          <w:tcPr>
            <w:tcW w:w="1620" w:type="dxa"/>
            <w:vMerge/>
            <w:vAlign w:val="center"/>
          </w:tcPr>
          <w:p w:rsidR="00467EC8" w:rsidRPr="00B103FC" w:rsidRDefault="00467EC8" w:rsidP="004974B3"/>
        </w:tc>
        <w:tc>
          <w:tcPr>
            <w:tcW w:w="6210" w:type="dxa"/>
          </w:tcPr>
          <w:p w:rsidR="00467EC8" w:rsidRPr="00BF1B73" w:rsidRDefault="00467EC8" w:rsidP="004974B3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 xml:space="preserve">Funding for </w:t>
            </w:r>
            <w:proofErr w:type="spellStart"/>
            <w:r w:rsidRPr="00B103FC">
              <w:rPr>
                <w:rFonts w:ascii="Arial" w:eastAsia="Times New Roman" w:hAnsi="Arial" w:cs="Arial"/>
              </w:rPr>
              <w:t>specialised</w:t>
            </w:r>
            <w:proofErr w:type="spellEnd"/>
            <w:r w:rsidRPr="00B103FC">
              <w:rPr>
                <w:rFonts w:ascii="Arial" w:eastAsia="Times New Roman" w:hAnsi="Arial" w:cs="Arial"/>
              </w:rPr>
              <w:t xml:space="preserve"> equipment and accessories is up to a maximum</w:t>
            </w:r>
            <w:r>
              <w:rPr>
                <w:rFonts w:ascii="Arial" w:eastAsia="Times New Roman" w:hAnsi="Arial" w:cs="Arial"/>
              </w:rPr>
              <w:t xml:space="preserve"> of 40% of t</w:t>
            </w:r>
            <w:r w:rsidRPr="00B103FC">
              <w:rPr>
                <w:rFonts w:ascii="Arial" w:eastAsia="Times New Roman" w:hAnsi="Arial" w:cs="Arial"/>
              </w:rPr>
              <w:t>he total project expenses.</w:t>
            </w:r>
          </w:p>
        </w:tc>
        <w:tc>
          <w:tcPr>
            <w:tcW w:w="63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Pr="00B103FC" w:rsidRDefault="00467EC8" w:rsidP="004974B3"/>
        </w:tc>
        <w:tc>
          <w:tcPr>
            <w:tcW w:w="1620" w:type="dxa"/>
            <w:vMerge/>
            <w:vAlign w:val="center"/>
          </w:tcPr>
          <w:p w:rsidR="00467EC8" w:rsidRPr="00B103FC" w:rsidRDefault="00467EC8" w:rsidP="004974B3"/>
        </w:tc>
        <w:tc>
          <w:tcPr>
            <w:tcW w:w="6210" w:type="dxa"/>
          </w:tcPr>
          <w:p w:rsidR="00467EC8" w:rsidRPr="00BF1B73" w:rsidRDefault="00467EC8" w:rsidP="004974B3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 xml:space="preserve">All </w:t>
            </w:r>
            <w:proofErr w:type="spellStart"/>
            <w:r w:rsidRPr="00B103FC">
              <w:rPr>
                <w:rFonts w:ascii="Arial" w:eastAsia="Times New Roman" w:hAnsi="Arial" w:cs="Arial"/>
              </w:rPr>
              <w:t>specialised</w:t>
            </w:r>
            <w:proofErr w:type="spellEnd"/>
            <w:r w:rsidRPr="00B103FC">
              <w:rPr>
                <w:rFonts w:ascii="Arial" w:eastAsia="Times New Roman" w:hAnsi="Arial" w:cs="Arial"/>
              </w:rPr>
              <w:t xml:space="preserve"> equipment/software directly related to the project must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 xml:space="preserve">be </w:t>
            </w:r>
            <w:proofErr w:type="spellStart"/>
            <w:r w:rsidRPr="00B103FC">
              <w:rPr>
                <w:rFonts w:ascii="Arial" w:eastAsia="Times New Roman" w:hAnsi="Arial" w:cs="Arial"/>
              </w:rPr>
              <w:t>itemised</w:t>
            </w:r>
            <w:proofErr w:type="spellEnd"/>
            <w:r w:rsidRPr="00B103FC">
              <w:rPr>
                <w:rFonts w:ascii="Arial" w:eastAsia="Times New Roman" w:hAnsi="Arial" w:cs="Arial"/>
              </w:rPr>
              <w:t>. Applicants need to provide justifications, specifications,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B103FC">
              <w:rPr>
                <w:rFonts w:ascii="Arial" w:eastAsia="Times New Roman" w:hAnsi="Arial" w:cs="Arial"/>
              </w:rPr>
              <w:t>quotations and estimated costs for such purchases</w:t>
            </w:r>
          </w:p>
        </w:tc>
        <w:tc>
          <w:tcPr>
            <w:tcW w:w="63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Default="00467EC8" w:rsidP="004974B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67EC8" w:rsidRPr="00BF1B73" w:rsidRDefault="00467EC8" w:rsidP="00497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</w:t>
            </w:r>
            <w:r w:rsidRPr="00BF1B73">
              <w:rPr>
                <w:rFonts w:ascii="Arial" w:hAnsi="Arial" w:cs="Arial"/>
              </w:rPr>
              <w:t>f Research</w:t>
            </w:r>
          </w:p>
        </w:tc>
        <w:tc>
          <w:tcPr>
            <w:tcW w:w="6210" w:type="dxa"/>
          </w:tcPr>
          <w:p w:rsidR="00467EC8" w:rsidRPr="00BF1B73" w:rsidRDefault="00467EC8" w:rsidP="004974B3">
            <w:pPr>
              <w:jc w:val="both"/>
              <w:rPr>
                <w:rFonts w:ascii="Arial" w:eastAsia="Times New Roman" w:hAnsi="Arial" w:cs="Arial"/>
              </w:rPr>
            </w:pPr>
            <w:r w:rsidRPr="00BF1B73">
              <w:rPr>
                <w:rFonts w:ascii="Arial" w:hAnsi="Arial" w:cs="Arial"/>
              </w:rPr>
              <w:t xml:space="preserve">The research project under </w:t>
            </w:r>
            <w:proofErr w:type="spellStart"/>
            <w:r w:rsidRPr="00BF1B73">
              <w:rPr>
                <w:rFonts w:ascii="Arial" w:hAnsi="Arial" w:cs="Arial"/>
              </w:rPr>
              <w:t>ScienceFund</w:t>
            </w:r>
            <w:proofErr w:type="spellEnd"/>
            <w:r w:rsidRPr="00BF1B73">
              <w:rPr>
                <w:rFonts w:ascii="Arial" w:hAnsi="Arial" w:cs="Arial"/>
              </w:rPr>
              <w:t xml:space="preserve"> must be carried out in Malaysia</w:t>
            </w:r>
          </w:p>
        </w:tc>
        <w:tc>
          <w:tcPr>
            <w:tcW w:w="63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4974B3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 w:val="restart"/>
            <w:vAlign w:val="center"/>
          </w:tcPr>
          <w:p w:rsidR="00467EC8" w:rsidRPr="00C279FA" w:rsidRDefault="00467EC8" w:rsidP="00467E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</w:t>
            </w:r>
          </w:p>
        </w:tc>
        <w:tc>
          <w:tcPr>
            <w:tcW w:w="1620" w:type="dxa"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Project Title</w:t>
            </w:r>
          </w:p>
        </w:tc>
        <w:tc>
          <w:tcPr>
            <w:tcW w:w="6210" w:type="dxa"/>
          </w:tcPr>
          <w:p w:rsidR="00467EC8" w:rsidRPr="00C279FA" w:rsidRDefault="00467EC8" w:rsidP="00564A57">
            <w:pPr>
              <w:jc w:val="both"/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 xml:space="preserve">The title is concise, clearly indicating the subject of the </w:t>
            </w:r>
            <w:r>
              <w:rPr>
                <w:rFonts w:ascii="Arial" w:eastAsia="Times New Roman" w:hAnsi="Arial" w:cs="Arial"/>
              </w:rPr>
              <w:t>r</w:t>
            </w:r>
            <w:r w:rsidRPr="00C279FA">
              <w:rPr>
                <w:rFonts w:ascii="Arial" w:eastAsia="Times New Roman" w:hAnsi="Arial" w:cs="Arial"/>
              </w:rPr>
              <w:t>esearch and reflecting the key idea(s) of the project.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rPr>
          <w:trHeight w:val="287"/>
        </w:trPr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Research Background</w:t>
            </w:r>
          </w:p>
        </w:tc>
        <w:tc>
          <w:tcPr>
            <w:tcW w:w="6210" w:type="dxa"/>
          </w:tcPr>
          <w:p w:rsidR="00467EC8" w:rsidRPr="00C279FA" w:rsidRDefault="00467EC8" w:rsidP="00564A57">
            <w:pPr>
              <w:jc w:val="both"/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 xml:space="preserve">Addressed major issues and problems 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C279FA" w:rsidRDefault="00467EC8" w:rsidP="00564A57">
            <w:pPr>
              <w:jc w:val="both"/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Research necessity and importance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C279FA" w:rsidRDefault="00467EC8" w:rsidP="00564A57">
            <w:pPr>
              <w:jc w:val="both"/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Variables and parameters of the research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C279FA" w:rsidRDefault="00467EC8" w:rsidP="00564A57">
            <w:pPr>
              <w:jc w:val="both"/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Hypothesis or theory, if any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C279FA" w:rsidRDefault="00467EC8" w:rsidP="00564A57">
            <w:pPr>
              <w:jc w:val="both"/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Setting the limits or boundaries of the proposed research in order to provide a clear focus.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Research Approach</w:t>
            </w:r>
          </w:p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B103FC" w:rsidRDefault="00467EC8" w:rsidP="00564A57">
            <w:pPr>
              <w:jc w:val="both"/>
              <w:rPr>
                <w:rFonts w:ascii="Arial" w:eastAsia="Times New Roman" w:hAnsi="Arial" w:cs="Arial"/>
                <w:u w:val="single"/>
              </w:rPr>
            </w:pPr>
            <w:r w:rsidRPr="00B103FC">
              <w:rPr>
                <w:rFonts w:ascii="Arial" w:eastAsia="Times New Roman" w:hAnsi="Arial" w:cs="Arial"/>
                <w:u w:val="single"/>
              </w:rPr>
              <w:t>Research Methodology</w:t>
            </w:r>
          </w:p>
          <w:p w:rsidR="00467EC8" w:rsidRPr="00C279FA" w:rsidRDefault="00467EC8" w:rsidP="00136D1B">
            <w:pPr>
              <w:jc w:val="both"/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Compare</w:t>
            </w:r>
            <w:r>
              <w:rPr>
                <w:rFonts w:ascii="Arial" w:eastAsia="Times New Roman" w:hAnsi="Arial" w:cs="Arial"/>
              </w:rPr>
              <w:t>s</w:t>
            </w:r>
            <w:r w:rsidRPr="00C279FA">
              <w:rPr>
                <w:rFonts w:ascii="Arial" w:eastAsia="Times New Roman" w:hAnsi="Arial" w:cs="Arial"/>
              </w:rPr>
              <w:t xml:space="preserve"> the methodology with alternative</w:t>
            </w:r>
            <w:r>
              <w:rPr>
                <w:rFonts w:ascii="Arial" w:eastAsia="Times New Roman" w:hAnsi="Arial" w:cs="Arial"/>
              </w:rPr>
              <w:t xml:space="preserve"> methods and justifies</w:t>
            </w:r>
            <w:r w:rsidRPr="00C279FA">
              <w:rPr>
                <w:rFonts w:ascii="Arial" w:eastAsia="Times New Roman" w:hAnsi="Arial" w:cs="Arial"/>
              </w:rPr>
              <w:t xml:space="preserve"> why the approach chosen </w:t>
            </w:r>
            <w:r>
              <w:rPr>
                <w:rFonts w:ascii="Arial" w:eastAsia="Times New Roman" w:hAnsi="Arial" w:cs="Arial"/>
              </w:rPr>
              <w:t>i</w:t>
            </w:r>
            <w:r w:rsidRPr="00C279FA">
              <w:rPr>
                <w:rFonts w:ascii="Arial" w:eastAsia="Times New Roman" w:hAnsi="Arial" w:cs="Arial"/>
              </w:rPr>
              <w:t>s the most appropriate.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rPr>
          <w:trHeight w:val="800"/>
        </w:trPr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B103FC" w:rsidRDefault="00467EC8" w:rsidP="00564A57">
            <w:pPr>
              <w:jc w:val="both"/>
              <w:rPr>
                <w:rFonts w:ascii="Arial" w:hAnsi="Arial" w:cs="Arial"/>
                <w:u w:val="single"/>
              </w:rPr>
            </w:pPr>
            <w:r w:rsidRPr="00B103FC">
              <w:rPr>
                <w:rFonts w:ascii="Arial" w:hAnsi="Arial" w:cs="Arial"/>
                <w:u w:val="single"/>
              </w:rPr>
              <w:t>Project Activities</w:t>
            </w:r>
          </w:p>
          <w:p w:rsidR="00467EC8" w:rsidRPr="00C279FA" w:rsidRDefault="00467EC8" w:rsidP="00564A57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Research activities including all timelines must be reflected in the Gantt chart.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rPr>
          <w:trHeight w:val="260"/>
        </w:trPr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B103FC" w:rsidRDefault="00467EC8" w:rsidP="00564A57">
            <w:pPr>
              <w:jc w:val="both"/>
              <w:rPr>
                <w:rFonts w:ascii="Arial" w:hAnsi="Arial" w:cs="Arial"/>
                <w:u w:val="single"/>
              </w:rPr>
            </w:pPr>
            <w:r w:rsidRPr="00B103FC">
              <w:rPr>
                <w:rFonts w:ascii="Arial" w:hAnsi="Arial" w:cs="Arial"/>
                <w:u w:val="single"/>
              </w:rPr>
              <w:t>Milestones</w:t>
            </w:r>
          </w:p>
          <w:p w:rsidR="00467EC8" w:rsidRPr="00B103FC" w:rsidRDefault="00467EC8" w:rsidP="00564A57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There must be at least 2 milestones per calendar year. The timing of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the milestones must be reflected in the Gantt chart.</w:t>
            </w:r>
          </w:p>
          <w:p w:rsidR="00467EC8" w:rsidRPr="00B103FC" w:rsidRDefault="00467EC8" w:rsidP="00564A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6E7C4F">
              <w:rPr>
                <w:rFonts w:ascii="Arial" w:hAnsi="Arial" w:cs="Arial"/>
                <w:i/>
              </w:rPr>
              <w:t>Literature review and report writing are not part of milestones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 w:val="restart"/>
            <w:vAlign w:val="center"/>
          </w:tcPr>
          <w:p w:rsidR="00467EC8" w:rsidRPr="00C279FA" w:rsidRDefault="00467EC8" w:rsidP="00467E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Technical</w:t>
            </w:r>
          </w:p>
        </w:tc>
        <w:tc>
          <w:tcPr>
            <w:tcW w:w="1620" w:type="dxa"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Output Expected</w:t>
            </w:r>
          </w:p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C279FA" w:rsidRDefault="00467EC8" w:rsidP="006D2C0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Method / technique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Demonstrator / prototype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New / improved product / device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New / improved process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New / improved software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New / improved material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New / improved service</w:t>
            </w:r>
          </w:p>
          <w:p w:rsidR="00467EC8" w:rsidRPr="006E7C4F" w:rsidRDefault="00467EC8" w:rsidP="007E085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IPR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Human Capital Development</w:t>
            </w:r>
          </w:p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C279FA" w:rsidRDefault="00467EC8" w:rsidP="006D2C0B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Post D</w:t>
            </w:r>
            <w:r w:rsidRPr="00C279FA">
              <w:rPr>
                <w:rFonts w:ascii="Arial" w:eastAsia="Times New Roman" w:hAnsi="Arial" w:cs="Arial"/>
              </w:rPr>
              <w:t>octorate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Doctorate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Master</w:t>
            </w:r>
          </w:p>
          <w:p w:rsidR="00467EC8" w:rsidRPr="006E7C4F" w:rsidRDefault="00467EC8" w:rsidP="007E085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 xml:space="preserve">Research staff with new </w:t>
            </w:r>
            <w:proofErr w:type="spellStart"/>
            <w:r w:rsidRPr="00C279FA">
              <w:rPr>
                <w:rFonts w:ascii="Arial" w:eastAsia="Times New Roman" w:hAnsi="Arial" w:cs="Arial"/>
              </w:rPr>
              <w:t>specialisation</w:t>
            </w:r>
            <w:proofErr w:type="spellEnd"/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Economic Contribution</w:t>
            </w:r>
          </w:p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C279FA" w:rsidRDefault="00467EC8" w:rsidP="006D2C0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Sales of manufactured product / device / equipment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Royalties from licensing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Re</w:t>
            </w:r>
            <w:r>
              <w:rPr>
                <w:rFonts w:ascii="Arial" w:eastAsia="Times New Roman" w:hAnsi="Arial" w:cs="Arial"/>
              </w:rPr>
              <w:t>ve</w:t>
            </w:r>
            <w:r w:rsidRPr="00C279FA">
              <w:rPr>
                <w:rFonts w:ascii="Arial" w:eastAsia="Times New Roman" w:hAnsi="Arial" w:cs="Arial"/>
              </w:rPr>
              <w:t>nue from consultancies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Cost savings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Time savings</w:t>
            </w:r>
          </w:p>
          <w:p w:rsidR="00467EC8" w:rsidRPr="006E7C4F" w:rsidRDefault="00467EC8" w:rsidP="007E0850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Others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C279FA" w:rsidTr="00467EC8">
        <w:tc>
          <w:tcPr>
            <w:tcW w:w="1620" w:type="dxa"/>
            <w:vMerge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Align w:val="center"/>
          </w:tcPr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Infrastructural contribution</w:t>
            </w:r>
          </w:p>
          <w:p w:rsidR="00467EC8" w:rsidRPr="00C279FA" w:rsidRDefault="00467EC8" w:rsidP="00A70A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10" w:type="dxa"/>
          </w:tcPr>
          <w:p w:rsidR="00467EC8" w:rsidRPr="00C279FA" w:rsidRDefault="00467EC8" w:rsidP="006D2C0B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New equipment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New / improved facility</w:t>
            </w:r>
          </w:p>
          <w:p w:rsidR="00467EC8" w:rsidRPr="00C279FA" w:rsidRDefault="00467EC8" w:rsidP="006D2C0B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New information networks</w:t>
            </w:r>
          </w:p>
          <w:p w:rsidR="00467EC8" w:rsidRPr="006E7C4F" w:rsidRDefault="00467EC8" w:rsidP="007E085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C279FA">
              <w:rPr>
                <w:rFonts w:ascii="Arial" w:eastAsia="Times New Roman" w:hAnsi="Arial" w:cs="Arial"/>
              </w:rPr>
              <w:t>Others</w:t>
            </w:r>
          </w:p>
        </w:tc>
        <w:tc>
          <w:tcPr>
            <w:tcW w:w="63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C279FA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Pr="006E7C4F" w:rsidRDefault="00467EC8" w:rsidP="00A70A3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67EC8" w:rsidRPr="00B103FC" w:rsidRDefault="00467EC8" w:rsidP="00A70A31">
            <w:pPr>
              <w:rPr>
                <w:rFonts w:ascii="Arial" w:eastAsia="Times New Roman" w:hAnsi="Arial" w:cs="Arial"/>
              </w:rPr>
            </w:pPr>
            <w:r w:rsidRPr="006E7C4F">
              <w:rPr>
                <w:rFonts w:ascii="Arial" w:hAnsi="Arial" w:cs="Arial"/>
              </w:rPr>
              <w:t xml:space="preserve">Research Priority Areas </w:t>
            </w:r>
          </w:p>
        </w:tc>
        <w:tc>
          <w:tcPr>
            <w:tcW w:w="6210" w:type="dxa"/>
          </w:tcPr>
          <w:p w:rsidR="00467EC8" w:rsidRPr="00B103FC" w:rsidRDefault="00467EC8" w:rsidP="006D2C0B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Life Sciences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Computer Sciences and Information and Communication Technology (ICT)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 xml:space="preserve">Agriculture Sciences/ Agricultural Engineering 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Environmental Sciences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Advanced Materials Science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Chemical Sciences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Physical and Mathematical Sciences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Engineering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Medical and Health Sciences</w:t>
            </w:r>
          </w:p>
          <w:p w:rsidR="00467EC8" w:rsidRPr="00B103FC" w:rsidRDefault="00467EC8" w:rsidP="00C279FA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Social Sciences and Humanities</w:t>
            </w:r>
          </w:p>
        </w:tc>
        <w:tc>
          <w:tcPr>
            <w:tcW w:w="630" w:type="dxa"/>
          </w:tcPr>
          <w:p w:rsidR="00467EC8" w:rsidRPr="00B103FC" w:rsidRDefault="00467EC8" w:rsidP="00F029B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F029B8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Default="00467EC8" w:rsidP="00872FA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67EC8" w:rsidRPr="006E7C4F" w:rsidRDefault="00467EC8" w:rsidP="00872FAE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Selection Criteria of t</w:t>
            </w:r>
            <w:r w:rsidRPr="006E7C4F">
              <w:rPr>
                <w:rFonts w:ascii="Arial" w:hAnsi="Arial" w:cs="Arial"/>
              </w:rPr>
              <w:t>he Project</w:t>
            </w:r>
          </w:p>
          <w:p w:rsidR="00467EC8" w:rsidRPr="00B103FC" w:rsidRDefault="00467EC8" w:rsidP="00872FAE"/>
        </w:tc>
        <w:tc>
          <w:tcPr>
            <w:tcW w:w="6210" w:type="dxa"/>
          </w:tcPr>
          <w:p w:rsidR="00467EC8" w:rsidRPr="006E7C4F" w:rsidRDefault="00467EC8" w:rsidP="00872FAE">
            <w:pPr>
              <w:jc w:val="both"/>
              <w:rPr>
                <w:rFonts w:ascii="Arial" w:eastAsia="Times New Roman" w:hAnsi="Arial" w:cs="Arial"/>
                <w:u w:val="single"/>
              </w:rPr>
            </w:pPr>
            <w:r w:rsidRPr="006E7C4F">
              <w:rPr>
                <w:rFonts w:ascii="Arial" w:eastAsia="Times New Roman" w:hAnsi="Arial" w:cs="Arial"/>
                <w:u w:val="single"/>
              </w:rPr>
              <w:t>Scientific and technical merit</w:t>
            </w:r>
          </w:p>
          <w:p w:rsidR="00467EC8" w:rsidRPr="00B103FC" w:rsidRDefault="00467EC8" w:rsidP="00872FAE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The project must be scientifically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sound, technically feasible with achievable milestones, and has the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 xml:space="preserve">potential for further development and </w:t>
            </w:r>
            <w:proofErr w:type="spellStart"/>
            <w:r w:rsidRPr="00B103FC">
              <w:rPr>
                <w:rFonts w:ascii="Arial" w:eastAsia="Times New Roman" w:hAnsi="Arial" w:cs="Arial"/>
              </w:rPr>
              <w:t>co</w:t>
            </w:r>
            <w:r>
              <w:rPr>
                <w:rFonts w:ascii="Arial" w:eastAsia="Times New Roman" w:hAnsi="Arial" w:cs="Arial"/>
              </w:rPr>
              <w:t>m</w:t>
            </w:r>
            <w:r w:rsidRPr="00B103FC">
              <w:rPr>
                <w:rFonts w:ascii="Arial" w:eastAsia="Times New Roman" w:hAnsi="Arial" w:cs="Arial"/>
              </w:rPr>
              <w:t>mercialisation</w:t>
            </w:r>
            <w:proofErr w:type="spellEnd"/>
            <w:r w:rsidRPr="00B103F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3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 xml:space="preserve">   </w:t>
            </w: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Pr="00B103FC" w:rsidRDefault="00467EC8" w:rsidP="00872FAE"/>
        </w:tc>
        <w:tc>
          <w:tcPr>
            <w:tcW w:w="1620" w:type="dxa"/>
            <w:vMerge/>
            <w:vAlign w:val="center"/>
          </w:tcPr>
          <w:p w:rsidR="00467EC8" w:rsidRPr="00B103FC" w:rsidRDefault="00467EC8" w:rsidP="00872FAE"/>
        </w:tc>
        <w:tc>
          <w:tcPr>
            <w:tcW w:w="6210" w:type="dxa"/>
          </w:tcPr>
          <w:p w:rsidR="00467EC8" w:rsidRPr="006E7C4F" w:rsidRDefault="00467EC8" w:rsidP="00872FAE">
            <w:pPr>
              <w:jc w:val="both"/>
              <w:rPr>
                <w:rFonts w:ascii="Arial" w:eastAsia="Times New Roman" w:hAnsi="Arial" w:cs="Arial"/>
                <w:u w:val="single"/>
              </w:rPr>
            </w:pPr>
            <w:r w:rsidRPr="006E7C4F">
              <w:rPr>
                <w:rFonts w:ascii="Arial" w:eastAsia="Times New Roman" w:hAnsi="Arial" w:cs="Arial"/>
                <w:u w:val="single"/>
              </w:rPr>
              <w:t>Research competence</w:t>
            </w:r>
          </w:p>
          <w:p w:rsidR="00467EC8" w:rsidRPr="00B103FC" w:rsidRDefault="00467EC8" w:rsidP="00872FAE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The research team must have the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knowledge and competency to carry out the research successfully to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completion.</w:t>
            </w:r>
          </w:p>
        </w:tc>
        <w:tc>
          <w:tcPr>
            <w:tcW w:w="63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Pr="00B103FC" w:rsidRDefault="00467EC8" w:rsidP="00872FAE"/>
        </w:tc>
        <w:tc>
          <w:tcPr>
            <w:tcW w:w="1620" w:type="dxa"/>
            <w:vMerge/>
            <w:vAlign w:val="center"/>
          </w:tcPr>
          <w:p w:rsidR="00467EC8" w:rsidRPr="00B103FC" w:rsidRDefault="00467EC8" w:rsidP="00872FAE"/>
        </w:tc>
        <w:tc>
          <w:tcPr>
            <w:tcW w:w="6210" w:type="dxa"/>
          </w:tcPr>
          <w:p w:rsidR="00467EC8" w:rsidRPr="00B103FC" w:rsidRDefault="00467EC8" w:rsidP="00872FAE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Innovativeness of the research.</w:t>
            </w:r>
          </w:p>
        </w:tc>
        <w:tc>
          <w:tcPr>
            <w:tcW w:w="63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</w:tr>
      <w:tr w:rsidR="00467EC8" w:rsidRPr="00B103FC" w:rsidTr="00467EC8">
        <w:tc>
          <w:tcPr>
            <w:tcW w:w="1620" w:type="dxa"/>
            <w:vMerge/>
          </w:tcPr>
          <w:p w:rsidR="00467EC8" w:rsidRPr="00B103FC" w:rsidRDefault="00467EC8" w:rsidP="00872FAE"/>
        </w:tc>
        <w:tc>
          <w:tcPr>
            <w:tcW w:w="1620" w:type="dxa"/>
            <w:vMerge/>
            <w:vAlign w:val="center"/>
          </w:tcPr>
          <w:p w:rsidR="00467EC8" w:rsidRPr="00B103FC" w:rsidRDefault="00467EC8" w:rsidP="00872FAE"/>
        </w:tc>
        <w:tc>
          <w:tcPr>
            <w:tcW w:w="6210" w:type="dxa"/>
          </w:tcPr>
          <w:p w:rsidR="00467EC8" w:rsidRPr="006E7C4F" w:rsidRDefault="00467EC8" w:rsidP="00872FAE">
            <w:pPr>
              <w:jc w:val="both"/>
              <w:rPr>
                <w:rFonts w:ascii="Arial" w:eastAsia="Times New Roman" w:hAnsi="Arial" w:cs="Arial"/>
                <w:u w:val="single"/>
              </w:rPr>
            </w:pPr>
            <w:r w:rsidRPr="006E7C4F">
              <w:rPr>
                <w:rFonts w:ascii="Arial" w:eastAsia="Times New Roman" w:hAnsi="Arial" w:cs="Arial"/>
                <w:u w:val="single"/>
              </w:rPr>
              <w:t>High impact research</w:t>
            </w:r>
          </w:p>
          <w:p w:rsidR="00467EC8" w:rsidRPr="00B103FC" w:rsidRDefault="00467EC8" w:rsidP="00872FAE">
            <w:pPr>
              <w:jc w:val="both"/>
              <w:rPr>
                <w:rFonts w:ascii="Arial" w:eastAsia="Times New Roman" w:hAnsi="Arial" w:cs="Arial"/>
              </w:rPr>
            </w:pPr>
            <w:r w:rsidRPr="00B103FC">
              <w:rPr>
                <w:rFonts w:ascii="Arial" w:eastAsia="Times New Roman" w:hAnsi="Arial" w:cs="Arial"/>
              </w:rPr>
              <w:t>Clear and measureable expected output,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outcome and impact in line with National Key Economic Areas /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103FC">
              <w:rPr>
                <w:rFonts w:ascii="Arial" w:eastAsia="Times New Roman" w:hAnsi="Arial" w:cs="Arial"/>
              </w:rPr>
              <w:t>National Key Result Areas (NKEA/NKRA).</w:t>
            </w:r>
          </w:p>
        </w:tc>
        <w:tc>
          <w:tcPr>
            <w:tcW w:w="63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</w:tcPr>
          <w:p w:rsidR="00467EC8" w:rsidRPr="00B103FC" w:rsidRDefault="00467EC8" w:rsidP="00872FAE">
            <w:pPr>
              <w:rPr>
                <w:rFonts w:ascii="Arial" w:eastAsia="Times New Roman" w:hAnsi="Arial" w:cs="Arial"/>
              </w:rPr>
            </w:pPr>
          </w:p>
        </w:tc>
      </w:tr>
    </w:tbl>
    <w:p w:rsidR="007E0850" w:rsidRPr="00B103FC" w:rsidRDefault="007E0850" w:rsidP="00467EC8">
      <w:pPr>
        <w:spacing w:after="0" w:line="240" w:lineRule="auto"/>
        <w:rPr>
          <w:rFonts w:ascii="Arial" w:eastAsia="Times New Roman" w:hAnsi="Arial" w:cs="Arial"/>
        </w:rPr>
      </w:pPr>
    </w:p>
    <w:sectPr w:rsidR="007E0850" w:rsidRPr="00B103FC" w:rsidSect="00370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EFF"/>
    <w:multiLevelType w:val="hybridMultilevel"/>
    <w:tmpl w:val="66D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4752F"/>
    <w:multiLevelType w:val="hybridMultilevel"/>
    <w:tmpl w:val="96A4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59E"/>
    <w:multiLevelType w:val="hybridMultilevel"/>
    <w:tmpl w:val="F726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42C2"/>
    <w:multiLevelType w:val="hybridMultilevel"/>
    <w:tmpl w:val="9D96EEC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0217E2E"/>
    <w:multiLevelType w:val="hybridMultilevel"/>
    <w:tmpl w:val="0B42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3CF"/>
    <w:rsid w:val="000B5597"/>
    <w:rsid w:val="000F0C15"/>
    <w:rsid w:val="00113DF8"/>
    <w:rsid w:val="00136D1B"/>
    <w:rsid w:val="00155873"/>
    <w:rsid w:val="001A03CF"/>
    <w:rsid w:val="001A1AF4"/>
    <w:rsid w:val="00230719"/>
    <w:rsid w:val="002916FA"/>
    <w:rsid w:val="002B1CA0"/>
    <w:rsid w:val="002C6F13"/>
    <w:rsid w:val="002E4AA3"/>
    <w:rsid w:val="002F68AB"/>
    <w:rsid w:val="002F7F5C"/>
    <w:rsid w:val="003630B9"/>
    <w:rsid w:val="00370E7B"/>
    <w:rsid w:val="003E5CFC"/>
    <w:rsid w:val="00467EC8"/>
    <w:rsid w:val="004A6952"/>
    <w:rsid w:val="00513C26"/>
    <w:rsid w:val="00564A57"/>
    <w:rsid w:val="00591C59"/>
    <w:rsid w:val="005F1415"/>
    <w:rsid w:val="005F176C"/>
    <w:rsid w:val="00621C3A"/>
    <w:rsid w:val="006604AA"/>
    <w:rsid w:val="006D2C0B"/>
    <w:rsid w:val="006E7C4F"/>
    <w:rsid w:val="007B675F"/>
    <w:rsid w:val="007E0850"/>
    <w:rsid w:val="00885BA0"/>
    <w:rsid w:val="009A26FA"/>
    <w:rsid w:val="009A7BF3"/>
    <w:rsid w:val="00A70A31"/>
    <w:rsid w:val="00A73AE3"/>
    <w:rsid w:val="00B103FC"/>
    <w:rsid w:val="00B605DF"/>
    <w:rsid w:val="00BC7844"/>
    <w:rsid w:val="00BF1B73"/>
    <w:rsid w:val="00C279FA"/>
    <w:rsid w:val="00C27EC4"/>
    <w:rsid w:val="00D638BF"/>
    <w:rsid w:val="00D9517A"/>
    <w:rsid w:val="00E60232"/>
    <w:rsid w:val="00E9343B"/>
    <w:rsid w:val="00F0060B"/>
    <w:rsid w:val="00F029B8"/>
    <w:rsid w:val="00F856EA"/>
    <w:rsid w:val="00FB1518"/>
    <w:rsid w:val="00FC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CF"/>
    <w:pPr>
      <w:ind w:left="720"/>
      <w:contextualSpacing/>
    </w:pPr>
  </w:style>
  <w:style w:type="table" w:styleId="TableGrid">
    <w:name w:val="Table Grid"/>
    <w:basedOn w:val="TableNormal"/>
    <w:uiPriority w:val="59"/>
    <w:rsid w:val="007E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shaslina</dc:creator>
  <cp:keywords/>
  <dc:description/>
  <cp:lastModifiedBy>shaslina</cp:lastModifiedBy>
  <cp:revision>53</cp:revision>
  <cp:lastPrinted>2015-03-05T09:47:00Z</cp:lastPrinted>
  <dcterms:created xsi:type="dcterms:W3CDTF">2015-02-27T08:19:00Z</dcterms:created>
  <dcterms:modified xsi:type="dcterms:W3CDTF">2015-03-05T09:49:00Z</dcterms:modified>
</cp:coreProperties>
</file>